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240" w:lineRule="auto"/>
        <w:ind/>
        <w:jc w:val="left"/>
        <w:rPr>
          <w:rFonts w:ascii="黑体" w:hAnsi="黑体" w:eastAsia="黑体"/>
          <w:b w:val="true"/>
          <w:bCs w:val="true"/>
          <w:color w:val="000000"/>
          <w:sz w:val="36"/>
          <w:szCs w:val="36"/>
        </w:rPr>
      </w:pPr>
      <w:r>
        <w:rPr>
          <w:rFonts w:ascii="黑体" w:hAnsi="黑体" w:eastAsia="黑体"/>
          <w:b w:val="true"/>
          <w:bCs w:val="true"/>
          <w:color w:val="000000"/>
          <w:sz w:val="36"/>
          <w:szCs w:val="36"/>
        </w:rPr>
        <w:t>附件一</w:t>
      </w:r>
    </w:p>
    <w:p>
      <w:pPr>
        <w:snapToGrid w:val="false"/>
        <w:spacing w:before="0" w:after="0" w:line="240" w:lineRule="auto"/>
        <w:ind/>
        <w:jc w:val="center"/>
        <w:rPr>
          <w:rFonts w:ascii="黑体" w:hAnsi="黑体" w:eastAsia="黑体"/>
          <w:b w:val="true"/>
          <w:bCs w:val="true"/>
          <w:color w:val="000000"/>
          <w:sz w:val="36"/>
          <w:szCs w:val="36"/>
        </w:rPr>
      </w:pPr>
      <w:r>
        <w:rPr>
          <w:rFonts w:ascii="黑体" w:hAnsi="黑体" w:eastAsia="黑体"/>
          <w:b w:val="true"/>
          <w:bCs w:val="true"/>
          <w:color w:val="000000"/>
          <w:sz w:val="36"/>
          <w:szCs w:val="36"/>
        </w:rPr>
        <w:t>南京艺术学院舞蹈学院2022年推免生复试方案</w:t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宋体" w:hAnsi="宋体" w:eastAsia="宋体"/>
          <w:color w:val="000000"/>
          <w:sz w:val="20"/>
          <w:szCs w:val="20"/>
        </w:rPr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宋体" w:hAnsi="宋体" w:eastAsia="宋体"/>
          <w:color w:val="000000"/>
          <w:sz w:val="20"/>
          <w:szCs w:val="20"/>
        </w:rPr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宋体" w:hAnsi="宋体" w:eastAsia="宋体"/>
          <w:color w:val="000000"/>
          <w:sz w:val="20"/>
          <w:szCs w:val="20"/>
        </w:rPr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结合教育部关于研究生复试工作的基本要求，以及南京艺术学院针对冠状病毒疫情的防控要求，南京艺术学院舞蹈学院针对2021年推免生复试考试做出了如下调整方案。</w:t>
      </w:r>
    </w:p>
    <w:p>
      <w:pPr>
        <w:numPr>
          <w:ilvl w:val="0"/>
          <w:numId w:val="33"/>
        </w:numPr>
        <w:snapToGrid w:val="false"/>
        <w:spacing w:before="0" w:after="0" w:line="360" w:lineRule="auto"/>
        <w:ind w:left="720" w:hanging="720"/>
        <w:jc w:val="both"/>
        <w:rPr>
          <w:rFonts w:ascii="仿宋" w:hAnsi="仿宋" w:eastAsia="仿宋"/>
          <w:b w:val="true"/>
          <w:bCs w:val="true"/>
          <w:color w:val="000000"/>
          <w:sz w:val="28"/>
          <w:szCs w:val="28"/>
        </w:rPr>
      </w:pPr>
      <w:r>
        <w:rPr>
          <w:rFonts w:hint="eastAsia"/>
        </w:rPr>
      </w:r>
      <w:r>
        <w:rPr>
          <w:rFonts w:ascii="仿宋" w:hAnsi="仿宋" w:eastAsia="仿宋"/>
          <w:b w:val="true"/>
          <w:bCs w:val="true"/>
          <w:color w:val="000000"/>
          <w:sz w:val="28"/>
          <w:szCs w:val="28"/>
        </w:rPr>
        <w:t>指导原则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1、本着安全第一的原则，取消现场面试，改为线上考试。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2、坚持原有的选拔原则，选拔内容和难易程度不降低。</w:t>
      </w:r>
    </w:p>
    <w:p>
      <w:pPr>
        <w:snapToGrid w:val="false"/>
        <w:spacing w:before="0" w:after="0" w:line="360" w:lineRule="auto"/>
        <w:ind/>
        <w:jc w:val="both"/>
        <w:rPr>
          <w:rFonts w:ascii="仿宋" w:hAnsi="仿宋" w:eastAsia="仿宋"/>
          <w:b w:val="true"/>
          <w:bCs w:val="true"/>
          <w:color w:val="000000"/>
          <w:sz w:val="28"/>
          <w:szCs w:val="28"/>
        </w:rPr>
      </w:pPr>
      <w:r>
        <w:rPr>
          <w:rFonts w:ascii="仿宋" w:hAnsi="仿宋" w:eastAsia="仿宋"/>
          <w:b w:val="true"/>
          <w:bCs w:val="true"/>
          <w:color w:val="000000"/>
          <w:sz w:val="28"/>
          <w:szCs w:val="28"/>
        </w:rPr>
        <w:t>二、考试内容模块</w:t>
      </w:r>
    </w:p>
    <w:p>
      <w:pPr>
        <w:snapToGrid w:val="false"/>
        <w:spacing w:before="0" w:after="0" w:line="360" w:lineRule="auto"/>
        <w:ind w:firstLine="555"/>
        <w:jc w:val="both"/>
        <w:rPr>
          <w:rFonts w:ascii="仿宋" w:hAnsi="仿宋" w:eastAsia="仿宋"/>
          <w:b w:val="true"/>
          <w:bCs w:val="true"/>
          <w:color w:val="000000"/>
          <w:sz w:val="28"/>
          <w:szCs w:val="28"/>
        </w:rPr>
      </w:pPr>
      <w:r>
        <w:rPr>
          <w:rFonts w:ascii="仿宋" w:hAnsi="仿宋" w:eastAsia="仿宋"/>
          <w:b w:val="true"/>
          <w:bCs w:val="true"/>
          <w:color w:val="000000"/>
          <w:sz w:val="28"/>
          <w:szCs w:val="28"/>
        </w:rPr>
        <w:t>1、全日制学术型硕士研究生</w:t>
      </w:r>
    </w:p>
    <w:p>
      <w:pPr>
        <w:snapToGrid w:val="false"/>
        <w:spacing w:before="0" w:after="0" w:line="360" w:lineRule="auto"/>
        <w:ind w:firstLine="555"/>
        <w:jc w:val="both"/>
        <w:rPr>
          <w:rFonts w:ascii="仿宋" w:hAnsi="仿宋" w:eastAsia="仿宋"/>
          <w:b w:val="true"/>
          <w:bCs w:val="true"/>
          <w:color w:val="000000"/>
          <w:sz w:val="28"/>
          <w:szCs w:val="28"/>
        </w:rPr>
      </w:pPr>
      <w:r>
        <w:rPr>
          <w:rFonts w:ascii="仿宋" w:hAnsi="仿宋" w:eastAsia="仿宋"/>
          <w:b w:val="true"/>
          <w:bCs w:val="true"/>
          <w:color w:val="000000"/>
          <w:sz w:val="28"/>
          <w:szCs w:val="28"/>
        </w:rPr>
        <w:t>（1）舞蹈理论与美学</w:t>
      </w:r>
    </w:p>
    <w:p>
      <w:pPr>
        <w:snapToGrid w:val="false"/>
        <w:spacing w:before="0" w:after="0" w:line="360" w:lineRule="auto"/>
        <w:ind w:firstLine="555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·主科及论文写作（舞蹈理论与美学）(100分)</w:t>
      </w:r>
    </w:p>
    <w:p>
      <w:pPr>
        <w:snapToGrid w:val="false"/>
        <w:spacing w:before="0" w:after="0" w:line="360" w:lineRule="auto"/>
        <w:ind w:firstLine="555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·面试（50分）</w:t>
      </w:r>
    </w:p>
    <w:p>
      <w:pPr>
        <w:snapToGrid w:val="false"/>
        <w:spacing w:before="0" w:after="0" w:line="360" w:lineRule="auto"/>
        <w:ind w:firstLine="555"/>
        <w:jc w:val="both"/>
        <w:rPr>
          <w:rFonts w:ascii="仿宋" w:hAnsi="仿宋" w:eastAsia="仿宋"/>
          <w:b w:val="true"/>
          <w:bCs w:val="true"/>
          <w:color w:val="000000"/>
          <w:sz w:val="28"/>
          <w:szCs w:val="28"/>
        </w:rPr>
      </w:pPr>
      <w:r>
        <w:rPr>
          <w:rFonts w:ascii="仿宋" w:hAnsi="仿宋" w:eastAsia="仿宋"/>
          <w:b w:val="true"/>
          <w:bCs w:val="true"/>
          <w:color w:val="000000"/>
          <w:sz w:val="28"/>
          <w:szCs w:val="28"/>
        </w:rPr>
        <w:t>（2）中国现当代舞蹈史</w:t>
      </w:r>
    </w:p>
    <w:p>
      <w:pPr>
        <w:snapToGrid w:val="false"/>
        <w:spacing w:before="0" w:after="0" w:line="360" w:lineRule="auto"/>
        <w:ind w:firstLine="555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·主科及论文写作（中国现当代舞蹈史）(100分)</w:t>
      </w:r>
    </w:p>
    <w:p>
      <w:pPr>
        <w:snapToGrid w:val="false"/>
        <w:spacing w:before="0" w:after="0" w:line="360" w:lineRule="auto"/>
        <w:ind w:firstLine="555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·面试（50分）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b w:val="true"/>
          <w:bCs w:val="true"/>
          <w:color w:val="000000"/>
          <w:sz w:val="28"/>
          <w:szCs w:val="28"/>
        </w:rPr>
      </w:pPr>
      <w:r>
        <w:rPr>
          <w:rFonts w:ascii="仿宋" w:hAnsi="仿宋" w:eastAsia="仿宋"/>
          <w:b w:val="true"/>
          <w:bCs w:val="true"/>
          <w:color w:val="000000"/>
          <w:sz w:val="28"/>
          <w:szCs w:val="28"/>
        </w:rPr>
        <w:t>2、全日制专业学位硕士研究生/非全日制专业学位研究生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b w:val="true"/>
          <w:bCs w:val="true"/>
          <w:color w:val="000000"/>
          <w:sz w:val="28"/>
          <w:szCs w:val="28"/>
        </w:rPr>
      </w:pPr>
      <w:r>
        <w:rPr>
          <w:rFonts w:ascii="仿宋" w:hAnsi="仿宋" w:eastAsia="仿宋"/>
          <w:b w:val="true"/>
          <w:bCs w:val="true"/>
          <w:color w:val="000000"/>
          <w:sz w:val="28"/>
          <w:szCs w:val="28"/>
        </w:rPr>
        <w:t>（1）舞蹈编导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·舞蹈编创（100分）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·面试（50分）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b w:val="true"/>
          <w:bCs w:val="true"/>
          <w:color w:val="000000"/>
          <w:sz w:val="28"/>
          <w:szCs w:val="28"/>
        </w:rPr>
      </w:pPr>
      <w:r>
        <w:rPr>
          <w:rFonts w:ascii="仿宋" w:hAnsi="仿宋" w:eastAsia="仿宋"/>
          <w:b w:val="true"/>
          <w:bCs w:val="true"/>
          <w:color w:val="000000"/>
          <w:sz w:val="28"/>
          <w:szCs w:val="28"/>
        </w:rPr>
        <w:t>（2）舞蹈表演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·剧目表演（60分）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·技巧组合展示（40分）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·面试（50分）</w:t>
      </w:r>
    </w:p>
    <w:p>
      <w:pPr>
        <w:numPr>
          <w:ilvl w:val="0"/>
          <w:numId w:val="34"/>
        </w:num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b w:val="true"/>
          <w:bCs w:val="true"/>
          <w:color w:val="000000"/>
          <w:sz w:val="28"/>
          <w:szCs w:val="28"/>
        </w:rPr>
      </w:pPr>
      <w:r>
        <w:rPr>
          <w:rFonts w:hint="eastAsia"/>
        </w:rPr>
      </w:r>
      <w:r>
        <w:rPr>
          <w:rFonts w:ascii="仿宋" w:hAnsi="仿宋" w:eastAsia="仿宋"/>
          <w:b w:val="true"/>
          <w:bCs w:val="true"/>
          <w:color w:val="000000"/>
          <w:sz w:val="28"/>
          <w:szCs w:val="28"/>
        </w:rPr>
        <w:t>舞蹈教育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·舞蹈教学展示（100分）</w:t>
      </w:r>
    </w:p>
    <w:p>
      <w:pPr>
        <w:snapToGrid w:val="false"/>
        <w:spacing w:before="0" w:after="0" w:line="360" w:lineRule="auto"/>
        <w:ind w:firstLine="562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·面试（50分）</w:t>
      </w:r>
    </w:p>
    <w:p>
      <w:pPr>
        <w:numPr>
          <w:ilvl w:val="0"/>
          <w:numId w:val="35"/>
        </w:numPr>
        <w:snapToGrid w:val="false"/>
        <w:spacing w:before="0" w:after="0" w:line="360" w:lineRule="auto"/>
        <w:ind w:left="720" w:hanging="720"/>
        <w:jc w:val="both"/>
        <w:rPr>
          <w:rFonts w:ascii="仿宋" w:hAnsi="仿宋" w:eastAsia="仿宋"/>
          <w:b w:val="true"/>
          <w:bCs w:val="true"/>
          <w:color w:val="000000"/>
          <w:sz w:val="28"/>
          <w:szCs w:val="28"/>
        </w:rPr>
      </w:pPr>
      <w:r>
        <w:rPr>
          <w:rFonts w:hint="eastAsia"/>
        </w:rPr>
      </w:r>
      <w:r>
        <w:rPr>
          <w:rFonts w:ascii="仿宋" w:hAnsi="仿宋" w:eastAsia="仿宋"/>
          <w:b w:val="true"/>
          <w:bCs w:val="true"/>
          <w:color w:val="000000"/>
          <w:sz w:val="28"/>
          <w:szCs w:val="28"/>
        </w:rPr>
        <w:t>具体办法</w:t>
      </w:r>
    </w:p>
    <w:p>
      <w:pPr>
        <w:numPr>
          <w:ilvl w:val="0"/>
          <w:numId w:val="36"/>
        </w:numPr>
        <w:snapToGrid w:val="false"/>
        <w:spacing w:before="0" w:after="0" w:line="360" w:lineRule="auto"/>
        <w:ind w:left="1825" w:hanging="1125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/>
        </w:rPr>
      </w:r>
      <w:r>
        <w:rPr>
          <w:rFonts w:ascii="仿宋" w:hAnsi="仿宋" w:eastAsia="仿宋"/>
          <w:color w:val="000000"/>
          <w:sz w:val="28"/>
          <w:szCs w:val="28"/>
        </w:rPr>
        <w:t>全日制学术型硕士研究生采用线上监考考试的方式。全日制专</w:t>
      </w:r>
    </w:p>
    <w:p>
      <w:pPr>
        <w:snapToGrid w:val="false"/>
        <w:spacing w:before="0" w:after="0" w:line="360" w:lineRule="auto"/>
        <w:ind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业学位硕士研究生/非全日制专业学位研究生采用线上方式进行专业水平考核，其中舞蹈编创、舞蹈教学展示科目将在考试现场抽取题目。</w:t>
      </w:r>
    </w:p>
    <w:p>
      <w:pPr>
        <w:numPr>
          <w:ilvl w:val="0"/>
          <w:numId w:val="36"/>
        </w:numPr>
        <w:snapToGrid w:val="false"/>
        <w:spacing w:before="0" w:after="0" w:line="360" w:lineRule="auto"/>
        <w:ind w:left="1825" w:hanging="1125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/>
        </w:rPr>
      </w:r>
      <w:r>
        <w:rPr>
          <w:rFonts w:ascii="仿宋" w:hAnsi="仿宋" w:eastAsia="仿宋"/>
          <w:color w:val="000000"/>
          <w:sz w:val="28"/>
          <w:szCs w:val="28"/>
        </w:rPr>
        <w:t>所有考生综合素质考核（面试）采用线上视频问答方式进行考</w:t>
      </w:r>
    </w:p>
    <w:p>
      <w:pPr>
        <w:snapToGrid w:val="false"/>
        <w:spacing w:before="0" w:after="0" w:line="360" w:lineRule="auto"/>
        <w:ind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核。全程严格按照以往的线下招生流程执行。</w:t>
      </w:r>
    </w:p>
    <w:p>
      <w:pPr>
        <w:numPr>
          <w:ilvl w:val="0"/>
          <w:numId w:val="35"/>
        </w:numPr>
        <w:snapToGrid w:val="false"/>
        <w:spacing w:before="0" w:after="0" w:line="360" w:lineRule="auto"/>
        <w:ind w:left="720" w:hanging="720"/>
        <w:jc w:val="both"/>
        <w:rPr>
          <w:rFonts w:ascii="仿宋" w:hAnsi="仿宋" w:eastAsia="仿宋"/>
          <w:b w:val="true"/>
          <w:bCs w:val="true"/>
          <w:color w:val="000000"/>
          <w:sz w:val="28"/>
          <w:szCs w:val="28"/>
        </w:rPr>
      </w:pPr>
      <w:r>
        <w:rPr>
          <w:rFonts w:hint="eastAsia"/>
        </w:rPr>
      </w:r>
      <w:r>
        <w:rPr>
          <w:rFonts w:ascii="仿宋" w:hAnsi="仿宋" w:eastAsia="仿宋"/>
          <w:b w:val="true"/>
          <w:bCs w:val="true"/>
          <w:color w:val="000000"/>
          <w:sz w:val="28"/>
          <w:szCs w:val="28"/>
        </w:rPr>
        <w:t>复试时间</w:t>
      </w:r>
    </w:p>
    <w:p>
      <w:pPr>
        <w:snapToGrid w:val="false"/>
        <w:spacing w:before="0" w:after="0" w:line="360" w:lineRule="auto"/>
        <w:ind w:left="72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10月13日，具体时间另行通知。</w:t>
      </w:r>
    </w:p>
    <w:p>
      <w:pPr>
        <w:numPr>
          <w:ilvl w:val="0"/>
          <w:numId w:val="37"/>
        </w:numPr>
        <w:snapToGrid w:val="false"/>
        <w:spacing w:before="0" w:after="0" w:line="360" w:lineRule="auto"/>
        <w:ind w:left="720" w:hanging="720"/>
        <w:jc w:val="both"/>
        <w:rPr>
          <w:rFonts w:ascii="仿宋" w:hAnsi="仿宋" w:eastAsia="仿宋"/>
          <w:b w:val="true"/>
          <w:bCs w:val="true"/>
          <w:color w:val="000000"/>
          <w:sz w:val="28"/>
          <w:szCs w:val="28"/>
        </w:rPr>
      </w:pPr>
      <w:r>
        <w:rPr>
          <w:rFonts w:hint="eastAsia"/>
        </w:rPr>
      </w:r>
      <w:r>
        <w:rPr>
          <w:rFonts w:ascii="仿宋" w:hAnsi="仿宋" w:eastAsia="仿宋"/>
          <w:b w:val="true"/>
          <w:bCs w:val="true"/>
          <w:color w:val="000000"/>
          <w:sz w:val="28"/>
          <w:szCs w:val="28"/>
        </w:rPr>
        <w:t>具体要求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b w:val="true"/>
          <w:bCs w:val="true"/>
          <w:color w:val="000000"/>
          <w:sz w:val="28"/>
          <w:szCs w:val="28"/>
        </w:rPr>
      </w:pPr>
      <w:r>
        <w:rPr>
          <w:rFonts w:ascii="仿宋" w:hAnsi="仿宋" w:eastAsia="仿宋"/>
          <w:b w:val="true"/>
          <w:bCs w:val="true"/>
          <w:color w:val="000000"/>
          <w:sz w:val="28"/>
          <w:szCs w:val="28"/>
        </w:rPr>
        <w:t>1、舞蹈编创、剧目表演、技巧组合展示、舞蹈教学展示考试要求：</w:t>
      </w:r>
    </w:p>
    <w:p>
      <w:pPr>
        <w:snapToGrid w:val="false"/>
        <w:spacing w:before="0" w:after="0" w:line="360" w:lineRule="auto"/>
        <w:ind w:firstLine="42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·考试场地不允许出现任何具有提示性的标志和标识。</w:t>
      </w:r>
    </w:p>
    <w:p>
      <w:pPr>
        <w:snapToGrid w:val="false"/>
        <w:spacing w:before="0" w:after="0" w:line="360" w:lineRule="auto"/>
        <w:ind w:firstLineChars="15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·剧目表演、技巧组合展示（包含技术技巧及连接动作）需自备音乐及练功服。</w:t>
      </w:r>
    </w:p>
    <w:p>
      <w:pPr>
        <w:snapToGrid w:val="false"/>
        <w:spacing w:before="0" w:after="0" w:line="360" w:lineRule="auto"/>
        <w:ind w:firstLineChars="15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·舞蹈编创包括现场抽题即兴编舞和不少于1分钟的编导阐释，编导阐释和教学组合讲解中，考生需在镜头前站定进行表述。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b w:val="true"/>
          <w:bCs w:val="true"/>
          <w:color w:val="000000"/>
          <w:sz w:val="28"/>
          <w:szCs w:val="28"/>
        </w:rPr>
      </w:pPr>
      <w:r>
        <w:rPr>
          <w:rFonts w:ascii="仿宋" w:hAnsi="仿宋" w:eastAsia="仿宋"/>
          <w:b w:val="true"/>
          <w:bCs w:val="true"/>
          <w:color w:val="000000"/>
          <w:sz w:val="28"/>
          <w:szCs w:val="28"/>
        </w:rPr>
        <w:t>2、主科及论文写作（舞蹈理论与美学）、主科及论文写作（中国现当代舞蹈史）笔视考试要求：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·考试方式为闭卷考试。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·考生需提前准备好白纸、笔等作答工具，答题现场布置好带有摄像头和语音功能的设备。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 xml:space="preserve">·拍摄双机位中其中一镜头中确保考生半身均在摄像头里，镜头中能看到脸部、手部及答题纸全貌，摄像头、话筒均保持打开状态，保证网络畅通。  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·需按照线下考试完全相同的要求，提前进考场，准备身份证、准考证等信息备监考老师核验。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·不允许提前提交答卷，考试结束停止作答，直接拍照上传，超过答题时间的答卷不予接收。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b w:val="true"/>
          <w:bCs w:val="true"/>
          <w:color w:val="000000"/>
          <w:sz w:val="28"/>
          <w:szCs w:val="28"/>
        </w:rPr>
      </w:pPr>
      <w:r>
        <w:rPr>
          <w:rFonts w:ascii="仿宋" w:hAnsi="仿宋" w:eastAsia="仿宋"/>
          <w:b w:val="true"/>
          <w:bCs w:val="true"/>
          <w:color w:val="000000"/>
          <w:sz w:val="28"/>
          <w:szCs w:val="28"/>
        </w:rPr>
        <w:t>3、面试要求：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·准备好“腾讯会议”软件，先进入候考室备考，待监考人员通知进入面试考场考试（腾讯网上会议室）。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·面试中需要提供科研、实践等获奖证明材料的可在考前两天将相关证明材料、获奖目录的电子扫描件汇总压缩发送至邮箱39986411@qq.com。邮件命名方式：报考方向+姓名。</w:t>
      </w:r>
    </w:p>
    <w:p>
      <w:pPr>
        <w:snapToGrid w:val="false"/>
        <w:spacing w:before="0" w:after="0" w:line="360" w:lineRule="auto"/>
        <w:ind w:firstLineChars="145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</w:r>
    </w:p>
    <w:p>
      <w:pPr>
        <w:snapToGrid w:val="false"/>
        <w:spacing w:before="0" w:after="0" w:line="360" w:lineRule="auto"/>
        <w:ind w:firstLineChars="145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</w:r>
    </w:p>
    <w:p>
      <w:pPr>
        <w:snapToGrid w:val="false"/>
        <w:spacing w:before="0" w:after="0" w:line="360" w:lineRule="auto"/>
        <w:ind w:firstLineChars="145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</w:r>
    </w:p>
    <w:p>
      <w:pPr>
        <w:snapToGrid w:val="false"/>
        <w:spacing w:before="0" w:after="0" w:line="360" w:lineRule="auto"/>
        <w:ind w:firstLineChars="145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南京艺术学院舞蹈学院</w:t>
      </w:r>
    </w:p>
    <w:p>
      <w:pPr>
        <w:snapToGrid w:val="false"/>
        <w:spacing w:before="0" w:after="0" w:line="360" w:lineRule="auto"/>
        <w:ind w:firstLineChars="155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2021年10月7日</w:t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</w:r>
    </w:p>
    <w:p>
      <w:pPr>
        <w:snapToGrid w:val="false"/>
        <w:spacing w:before="0" w:after="0" w:line="360" w:lineRule="auto"/>
        <w:ind w:firstLineChars="20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</w:r>
    </w:p>
    <w:p>
      <w:pPr>
        <w:snapToGrid w:val="false"/>
        <w:spacing w:before="0" w:after="0" w:line="240" w:lineRule="atLeast"/>
        <w:ind w:firstLineChars="200"/>
        <w:jc w:val="both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</w:r>
    </w:p>
    <w:p>
      <w:pPr>
        <w:snapToGrid w:val="false"/>
        <w:spacing w:before="105" w:after="0" w:line="240" w:lineRule="auto"/>
        <w:ind w:right="0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</w:r>
    </w:p>
    <w:sectPr w:rsidR="00C604EC">
      <w:footerReference w:type="default" r:id="rId11"/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napToGrid w:val="false"/>
      <w:spacing w:before="0" w:after="0" w:line="240" w:lineRule="auto"/>
      <w:ind/>
      <w:jc w:val="left"/>
      <w:rPr>
        <w:rFonts w:ascii="宋体" w:hAnsi="宋体" w:eastAsia="宋体"/>
        <w:color w:val="000000"/>
        <w:sz w:val="18"/>
        <w:szCs w:val="18"/>
      </w:rPr>
    </w:pPr>
    <w:r>
      <w:rPr>
        <w:rFonts w:ascii="宋体" w:hAnsi="宋体" w:eastAsia="宋体"/>
        <w:color w:val="000000"/>
        <w:sz w:val="18"/>
        <w:szCs w:val="18"/>
      </w:rPr>
      <w:t/>
    </w:r>
  </w:p>
</w:ftr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3">
    <w:multiLevelType w:val="multilevel"/>
    <w:lvl w:ilvl="0" w:tentative="false">
      <w:start w:val="1"/>
      <w:numFmt w:val="decimal"/>
      <w:lvlText w:val="%1、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false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false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false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false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false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false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false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false">
      <w:start w:val="1"/>
      <w:numFmt w:val="lowerRoman"/>
      <w:lvlText w:val="%9.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abstractNum w:abstractNumId="34">
    <w:multiLevelType w:val="multilevel"/>
    <w:lvl w:ilvl="0" w:tentative="false">
      <w:start w:val="2"/>
      <w:numFmt w:val="decimal"/>
      <w:lvlText w:val="（%1）"/>
      <w:lvlJc w:val="left"/>
      <w:pPr>
        <w:ind w:left="420" w:hanging="420"/>
      </w:pPr>
      <w:rPr>
        <w:rFonts w:hint="default" w:ascii="宋体" w:hAnsi="宋体" w:eastAsia="宋体"/>
        <w:bCs/>
      </w:rPr>
    </w:lvl>
  </w:abstractNum>
  <w:abstractNum w:abstractNumId="35">
    <w:multiLevelType w:val="multilevel"/>
    <w:lvl w:ilvl="0" w:tentative="false">
      <w:start w:val="2"/>
      <w:numFmt w:val="decimal"/>
      <w:lvlText w:val="%1、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false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false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false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false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false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false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false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false">
      <w:start w:val="1"/>
      <w:numFmt w:val="lowerRoman"/>
      <w:lvlText w:val="%9.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abstractNum w:abstractNumId="36">
    <w:multiLevelType w:val="multilevel"/>
    <w:lvl w:ilvl="0" w:tentative="false">
      <w:start w:val="1"/>
      <w:numFmt w:val="decimal"/>
      <w:lvlText w:val="%1、"/>
      <w:lvlJc w:val="left"/>
      <w:pPr>
        <w:ind w:left="420" w:hanging="420"/>
      </w:pPr>
      <w:rPr>
        <w:rFonts w:hint="default" w:ascii="仿宋" w:hAnsi="仿宋" w:eastAsia="仿宋"/>
        <w:bCs/>
      </w:rPr>
    </w:lvl>
    <w:lvl w:ilvl="1" w:tentative="false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false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false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false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false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false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false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false">
      <w:start w:val="1"/>
      <w:numFmt w:val="lowerRoman"/>
      <w:lvlText w:val="%9.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abstractNum w:abstractNumId="37">
    <w:multiLevelType w:val="multilevel"/>
    <w:lvl w:ilvl="0" w:tentative="false">
      <w:start w:val="4"/>
      <w:numFmt w:val="decimal"/>
      <w:lvlText w:val="%1、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false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false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false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false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false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false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false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false">
      <w:start w:val="1"/>
      <w:numFmt w:val="lowerRoman"/>
      <w:lvlText w:val="%9.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>
      <o:colormru colors="white" v:ext="edit"/>
    </o:shapedefaults>
    <o:shapelayout v:ext="edit">
      <o:idmap data="1" v:ext="edit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Relationship Target="footer.xml" Type="http://schemas.openxmlformats.org/officeDocument/2006/relationships/footer" Id="rId11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